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ind w:left="-567"/>
        <w:jc w:val="center"/>
        <w:rPr>
          <w:rFonts w:ascii="Times New Roman" w:hAnsi="Times New Roman" w:eastAsia="Arial Unicode MS" w:cs="Times New Roman"/>
          <w:sz w:val="24"/>
          <w:szCs w:val="24"/>
          <w:lang w:val="sah-RU" w:eastAsia="zh-CN"/>
        </w:rPr>
      </w:pPr>
      <w:r>
        <w:rPr>
          <w:rFonts w:ascii="Times New Roman" w:hAnsi="Times New Roman" w:eastAsia="Arial Unicode MS" w:cs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>
      <w:pPr>
        <w:spacing w:after="0" w:line="288" w:lineRule="auto"/>
        <w:ind w:left="-567" w:right="-426"/>
        <w:jc w:val="center"/>
        <w:rPr>
          <w:rFonts w:ascii="Arial Sakha Unicode" w:hAnsi="Arial Sakha Unicode" w:eastAsia="Arial Unicode MS" w:cs="Arial Unicode MS"/>
          <w:sz w:val="24"/>
          <w:szCs w:val="24"/>
          <w:lang w:val="sah-RU" w:eastAsia="zh-CN"/>
        </w:rPr>
      </w:pPr>
    </w:p>
    <w:tbl>
      <w:tblPr>
        <w:tblStyle w:val="6"/>
        <w:tblW w:w="9983" w:type="dxa"/>
        <w:tblInd w:w="-176" w:type="dxa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2457"/>
        <w:gridCol w:w="3745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781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zh-CN"/>
              </w:rPr>
              <w:t>Государственное бюджетное учреждение</w:t>
            </w:r>
          </w:p>
          <w:p>
            <w:pPr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zh-CN"/>
              </w:rPr>
              <w:t>Республики Саха (Якутия)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hAnsi="Arial Narrow" w:eastAsia="SimSun" w:cs="Times New Roman"/>
          <w:sz w:val="20"/>
          <w:szCs w:val="20"/>
          <w:lang w:val="sah-RU" w:eastAsia="ru-RU"/>
        </w:rPr>
      </w:pP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 w:cs="Times New Roman"/>
          <w:sz w:val="20"/>
          <w:szCs w:val="20"/>
          <w:lang w:val="sah-RU" w:eastAsia="ru-RU"/>
        </w:rPr>
      </w:pP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>
        <w:rPr>
          <w:rFonts w:ascii="Times New Roman" w:hAnsi="Times New Roman" w:eastAsia="SimSu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 xml:space="preserve">, 677027 тел/факс: 8(411-2) 35-07-82, 32-18-54 </w:t>
      </w: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 w:cs="Times New Roman"/>
          <w:sz w:val="20"/>
          <w:szCs w:val="20"/>
          <w:lang w:val="en-US" w:eastAsia="ru-RU"/>
        </w:rPr>
      </w:pP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 xml:space="preserve">Е-mail: </w:t>
      </w:r>
      <w:r>
        <w:fldChar w:fldCharType="begin"/>
      </w:r>
      <w:r>
        <w:instrText xml:space="preserve"> HYPERLINK "mailto:smekh@inbox.ru" </w:instrText>
      </w:r>
      <w:r>
        <w:fldChar w:fldCharType="separate"/>
      </w:r>
      <w:r>
        <w:rPr>
          <w:rFonts w:ascii="Times New Roman" w:hAnsi="Times New Roman" w:eastAsia="SimSun" w:cs="Times New Roman"/>
          <w:color w:val="0000FF"/>
          <w:sz w:val="20"/>
          <w:szCs w:val="20"/>
          <w:u w:val="single"/>
          <w:lang w:val="sah-RU" w:eastAsia="ru-RU"/>
        </w:rPr>
        <w:t>smekh@inbox.ru</w:t>
      </w:r>
      <w:r>
        <w:rPr>
          <w:rFonts w:ascii="Times New Roman" w:hAnsi="Times New Roman" w:eastAsia="SimSun" w:cs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>
        <w:rPr>
          <w:rFonts w:ascii="Times New Roman" w:hAnsi="Times New Roman" w:eastAsia="SimSun" w:cs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>
        <w:instrText xml:space="preserve"> HYPERLINK "http://sakhatuz.ru/" </w:instrText>
      </w:r>
      <w:r>
        <w:fldChar w:fldCharType="separate"/>
      </w:r>
      <w:r>
        <w:rPr>
          <w:rStyle w:val="4"/>
          <w:lang w:val="en-US"/>
        </w:rPr>
        <w:t>http://sakhatuz.ru/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  </w:t>
      </w: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 w:cs="Times New Roman"/>
          <w:sz w:val="24"/>
          <w:szCs w:val="24"/>
          <w:lang w:val="sah-RU" w:eastAsia="ru-RU"/>
        </w:rPr>
      </w:pPr>
    </w:p>
    <w:p>
      <w:pPr>
        <w:spacing w:after="0" w:line="288" w:lineRule="auto"/>
        <w:ind w:left="-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План мероприятий ГБУ РС(Я) «Театр юного зрителя»</w:t>
      </w:r>
    </w:p>
    <w:p>
      <w:pPr>
        <w:spacing w:after="0" w:line="288" w:lineRule="auto"/>
        <w:ind w:left="-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      на декабрь месяц 2021 г.</w:t>
      </w:r>
    </w:p>
    <w:p>
      <w:pPr>
        <w:spacing w:after="0" w:line="288" w:lineRule="auto"/>
        <w:ind w:left="-567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5"/>
        <w:tblW w:w="10484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401"/>
        <w:gridCol w:w="3011"/>
        <w:gridCol w:w="1062"/>
        <w:gridCol w:w="1573"/>
        <w:gridCol w:w="129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 проведения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Наименование спектакля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Время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Место проведения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Цена билета</w:t>
            </w: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Возрастное ограничение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02.12.2021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«Незабвенная тропа» И Черкашина в постановке А. Титигирова,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посвящен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ный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ветеранам боевых действий и локальны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войн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03.12.21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«Сказка о рыбаке и рыбке» А. Пушкина, реж. А. Титигиров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03.12.2021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Спектакль к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 xml:space="preserve">о Дню неизвестного солдата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«Незабвенная тропа» И Черкашина в постановке А. Титигирова,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посвящен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ный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ветеранам боевых действий и локальны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войн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04.12.2021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«Незабвенная тропа» И Черкашина в постановке А. Титигирова,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посвящен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ный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ветеранам боевых действий и локальны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войн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09.12.2021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Премьера спектакля «Доходное место» А. Островского в постановке А. Титигирова, посвященный Международному дню против коррупци 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? 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14.12.21 </w:t>
            </w:r>
          </w:p>
        </w:tc>
        <w:tc>
          <w:tcPr>
            <w:tcW w:w="3011" w:type="dxa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«Супруги Орловы» М. Горького, реж. А. Ботаков </w:t>
            </w:r>
          </w:p>
        </w:tc>
        <w:tc>
          <w:tcPr>
            <w:tcW w:w="1062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Фойе ТЮЗа </w:t>
            </w:r>
          </w:p>
        </w:tc>
        <w:tc>
          <w:tcPr>
            <w:tcW w:w="1294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15.12.21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«Супруги Орловы» М. Горького, реж. А. Ботаков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Фойе ТЮЗа 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16.12.21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«Наара суох» И. Гоголева - Кындыл, реж. К. Сергучев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17.12.21 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Спектакль «Наара суох» И. Гоголева - Кындыл, реж. К. Сергучев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17:00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1401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21.12.21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23.12.21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24.12.21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25.12.21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 с тиффлокоментарием , реж. А. Титигиров 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11:00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25.12.21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26.12.21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 с тиффлокоментарием , реж. А. Титигиров 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11:00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26.12.21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Фойе ТЮЗа 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28.12.21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1401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29.12.21</w:t>
            </w:r>
          </w:p>
        </w:tc>
        <w:tc>
          <w:tcPr>
            <w:tcW w:w="3011" w:type="dxa"/>
            <w:vAlign w:val="top"/>
          </w:tcPr>
          <w:p>
            <w:pPr>
              <w:spacing w:after="0" w:line="288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Новогодние утренники для детей «Доктор Айболит» К. Чуковского, реж. А. Титигиров </w:t>
            </w:r>
          </w:p>
        </w:tc>
        <w:tc>
          <w:tcPr>
            <w:tcW w:w="1062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12:00</w:t>
            </w:r>
          </w:p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en-US" w:bidi="ar-SA"/>
              </w:rPr>
              <w:t>15:00</w:t>
            </w:r>
          </w:p>
        </w:tc>
        <w:tc>
          <w:tcPr>
            <w:tcW w:w="1573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Фойе ТЮЗа</w:t>
            </w:r>
          </w:p>
        </w:tc>
        <w:tc>
          <w:tcPr>
            <w:tcW w:w="1294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0+</w:t>
            </w:r>
          </w:p>
        </w:tc>
      </w:tr>
    </w:tbl>
    <w:p/>
    <w:p/>
    <w:p>
      <w:pPr>
        <w:pStyle w:val="7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7"/>
        <w:jc w:val="both"/>
        <w:rPr>
          <w:rFonts w:hint="default"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ru-RU"/>
        </w:rPr>
        <w:t>Художественный руководитель                                        А.П. Павлов</w:t>
      </w:r>
    </w:p>
    <w:p>
      <w:pPr>
        <w:rPr>
          <w:rFonts w:hint="default"/>
          <w:lang w:val="ru-RU"/>
        </w:rPr>
      </w:pPr>
    </w:p>
    <w:sectPr>
      <w:pgSz w:w="11906" w:h="16838"/>
      <w:pgMar w:top="780" w:right="1800" w:bottom="106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Sakha Unicode">
    <w:altName w:val="Corbel"/>
    <w:panose1 w:val="00000000000000000000"/>
    <w:charset w:val="CC"/>
    <w:family w:val="auto"/>
    <w:pitch w:val="default"/>
    <w:sig w:usb0="00000000" w:usb1="00000000" w:usb2="00000010" w:usb3="00000000" w:csb0="0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87205"/>
    <w:rsid w:val="269B3CAA"/>
    <w:rsid w:val="34530380"/>
    <w:rsid w:val="5F587205"/>
    <w:rsid w:val="62391D1B"/>
    <w:rsid w:val="67024F8A"/>
    <w:rsid w:val="72D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1"/>
    <w:basedOn w:val="3"/>
    <w:qFormat/>
    <w:uiPriority w:val="59"/>
    <w:pPr>
      <w:spacing w:after="0" w:line="240" w:lineRule="auto"/>
    </w:pPr>
    <w:rPr>
      <w:rFonts w:ascii="Calibri" w:hAnsi="Calibri" w:eastAsia="SimSun" w:cs="Times New Roma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2021-10-06T05:50:00Z</dcterms:created>
  <dc:creator>приемная</dc:creator>
  <cp:lastModifiedBy>приемная</cp:lastModifiedBy>
  <cp:lastPrinted>2021-10-07T06:32:11Z</cp:lastPrinted>
  <dcterms:modified xsi:type="dcterms:W3CDTF">2021-10-07T06:32:48Z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BD62D429D96B4B71996826F315B3F348</vt:lpwstr>
  </property>
</Properties>
</file>